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1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9"/>
        <w:gridCol w:w="2162"/>
        <w:gridCol w:w="2480"/>
      </w:tblGrid>
      <w:tr w:rsidR="00533077" w14:paraId="1C1DE321" w14:textId="77777777" w:rsidTr="00B47C6A">
        <w:trPr>
          <w:trHeight w:val="559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1DA9817B" w14:textId="7777777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0AD91830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4581AE5F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1B0B508D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486E5F16" w14:textId="77777777" w:rsidTr="00B47C6A">
        <w:trPr>
          <w:trHeight w:val="417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419F1B6A" w14:textId="66BE2FE4" w:rsidR="00533077" w:rsidRPr="009D2D5C" w:rsidRDefault="00F1457A" w:rsidP="0053307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F1457A">
              <w:rPr>
                <w:rFonts w:ascii="Arial" w:hAnsi="Arial" w:cs="Arial"/>
                <w:b/>
                <w:bCs/>
                <w:sz w:val="20"/>
                <w:szCs w:val="20"/>
              </w:rPr>
              <w:t>utomatický barvicí systém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0FEB94B7" w14:textId="77777777" w:rsidR="00533077" w:rsidRPr="00F5165B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80" w:type="dxa"/>
            <w:shd w:val="clear" w:color="auto" w:fill="FFFF99"/>
          </w:tcPr>
          <w:p w14:paraId="5BB4F6D6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6C6A8218" w14:textId="77777777" w:rsidTr="00B47C6A">
        <w:trPr>
          <w:trHeight w:val="42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4D42A5AF" w14:textId="75DFECAA" w:rsidR="00840238" w:rsidRPr="00840238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40238">
              <w:rPr>
                <w:rFonts w:cs="Arial"/>
                <w:bCs/>
              </w:rPr>
              <w:t xml:space="preserve">V rámci veřejné zakázky bude soutěžen </w:t>
            </w:r>
            <w:r w:rsidRPr="00840238">
              <w:rPr>
                <w:rFonts w:cs="Arial"/>
                <w:b/>
              </w:rPr>
              <w:t>1</w:t>
            </w:r>
            <w:r w:rsidR="004C213E">
              <w:rPr>
                <w:rFonts w:cs="Arial"/>
                <w:b/>
              </w:rPr>
              <w:t xml:space="preserve"> </w:t>
            </w:r>
            <w:r w:rsidRPr="00840238">
              <w:rPr>
                <w:rFonts w:cs="Arial"/>
                <w:b/>
              </w:rPr>
              <w:t xml:space="preserve">ks </w:t>
            </w:r>
            <w:r w:rsidR="004C213E">
              <w:rPr>
                <w:rFonts w:cs="Arial"/>
                <w:b/>
              </w:rPr>
              <w:t>a</w:t>
            </w:r>
            <w:r w:rsidR="00F1457A" w:rsidRPr="00F1457A">
              <w:rPr>
                <w:rFonts w:cs="Arial"/>
                <w:b/>
              </w:rPr>
              <w:t>utomatick</w:t>
            </w:r>
            <w:r w:rsidR="004C213E">
              <w:rPr>
                <w:rFonts w:cs="Arial"/>
                <w:b/>
              </w:rPr>
              <w:t>ého</w:t>
            </w:r>
            <w:r w:rsidR="00F1457A" w:rsidRPr="00F1457A">
              <w:rPr>
                <w:rFonts w:cs="Arial"/>
                <w:b/>
              </w:rPr>
              <w:t xml:space="preserve"> barvicí</w:t>
            </w:r>
            <w:r w:rsidR="004C213E">
              <w:rPr>
                <w:rFonts w:cs="Arial"/>
                <w:b/>
              </w:rPr>
              <w:t>ho</w:t>
            </w:r>
            <w:r w:rsidR="00F1457A" w:rsidRPr="00F1457A">
              <w:rPr>
                <w:rFonts w:cs="Arial"/>
                <w:b/>
              </w:rPr>
              <w:t xml:space="preserve"> systém</w:t>
            </w:r>
            <w:r w:rsidR="004C213E">
              <w:rPr>
                <w:rFonts w:cs="Arial"/>
                <w:b/>
              </w:rPr>
              <w:t>u</w:t>
            </w:r>
            <w:r w:rsidR="00F1457A">
              <w:rPr>
                <w:rFonts w:cs="Arial"/>
                <w:b/>
              </w:rPr>
              <w:t xml:space="preserve"> </w:t>
            </w:r>
            <w:r w:rsidRPr="00840238">
              <w:rPr>
                <w:rFonts w:cs="Arial"/>
                <w:bCs/>
              </w:rPr>
              <w:t xml:space="preserve">pro </w:t>
            </w:r>
            <w:r w:rsidR="00F1457A">
              <w:rPr>
                <w:rFonts w:cs="Arial"/>
                <w:bCs/>
              </w:rPr>
              <w:t xml:space="preserve">patologické </w:t>
            </w:r>
            <w:r w:rsidRPr="00840238">
              <w:rPr>
                <w:rFonts w:cs="Arial"/>
                <w:bCs/>
              </w:rPr>
              <w:t xml:space="preserve">oddělení </w:t>
            </w:r>
            <w:r w:rsidR="004C213E">
              <w:rPr>
                <w:rFonts w:cs="Arial"/>
                <w:bCs/>
              </w:rPr>
              <w:t>nemocnice v Karlových Varech</w:t>
            </w:r>
            <w:r w:rsidRPr="00840238">
              <w:rPr>
                <w:rFonts w:cs="Arial"/>
                <w:bCs/>
              </w:rPr>
              <w:t>, KKN a.s.</w:t>
            </w:r>
          </w:p>
          <w:p w14:paraId="10DB0A7C" w14:textId="77777777" w:rsidR="00840238" w:rsidRPr="00840238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3E2DFDB4" w14:textId="77777777" w:rsidR="009D2D5C" w:rsidRPr="00C74F67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840238">
              <w:rPr>
                <w:rFonts w:cs="Arial"/>
                <w:bCs/>
              </w:rPr>
              <w:t>Zadavatel nepřipouští žádné odchylky mimo rámec číselných hodnot parametrů uvedených níže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056AC73F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796F631B" w14:textId="77777777" w:rsidTr="00B47C6A">
        <w:trPr>
          <w:trHeight w:val="8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4D0DB420" w14:textId="77777777" w:rsidR="00533077" w:rsidRPr="00924D35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</w:pPr>
            <w:r w:rsidRPr="00924D35"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  <w:t>Obchodní název a typové označení přístroje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21C40E90" w14:textId="77777777" w:rsidR="00533077" w:rsidRPr="00924D3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227ACB"/>
              </w:rPr>
            </w:pPr>
          </w:p>
        </w:tc>
      </w:tr>
      <w:tr w:rsidR="00533077" w14:paraId="664AFECF" w14:textId="77777777" w:rsidTr="00B47C6A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4139F6DF" w14:textId="77777777" w:rsidR="00533077" w:rsidRPr="00924D35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</w:pPr>
            <w:r w:rsidRPr="00924D35"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  <w:t>Výrobce přístroje</w:t>
            </w:r>
          </w:p>
        </w:tc>
        <w:tc>
          <w:tcPr>
            <w:tcW w:w="2480" w:type="dxa"/>
            <w:shd w:val="clear" w:color="auto" w:fill="FFFF99"/>
          </w:tcPr>
          <w:p w14:paraId="67C0B0C9" w14:textId="77777777" w:rsidR="00533077" w:rsidRPr="00924D3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227ACB"/>
              </w:rPr>
            </w:pPr>
          </w:p>
        </w:tc>
      </w:tr>
      <w:tr w:rsidR="00533077" w14:paraId="5F3B734E" w14:textId="77777777" w:rsidTr="00B47C6A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661E4BB3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480" w:type="dxa"/>
            <w:shd w:val="clear" w:color="auto" w:fill="FFFF99"/>
          </w:tcPr>
          <w:p w14:paraId="334AFF93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533077" w14:paraId="6EE215E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6C36D6D" w14:textId="4E92B6F2" w:rsidR="00533077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Plně automatický barvicí systém certifikovaný (včetně ovládacího SW) pro in vitro diagnostiku (CE-IVD) pro stanovení analytů</w:t>
            </w:r>
          </w:p>
        </w:tc>
        <w:tc>
          <w:tcPr>
            <w:tcW w:w="2162" w:type="dxa"/>
            <w:vAlign w:val="center"/>
          </w:tcPr>
          <w:p w14:paraId="1249AC44" w14:textId="77777777" w:rsidR="00533077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F6272FD" w14:textId="77777777" w:rsidR="00533077" w:rsidRPr="00A6509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039B40F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26FD98B" w14:textId="63F195F1" w:rsidR="00A67AF5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Přístroj s plně automatickým provozem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imunohistochemického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barvení a schopností využít přístroj i pro hybridizaci in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situ</w:t>
            </w:r>
            <w:proofErr w:type="spellEnd"/>
          </w:p>
        </w:tc>
        <w:tc>
          <w:tcPr>
            <w:tcW w:w="2162" w:type="dxa"/>
            <w:vAlign w:val="center"/>
          </w:tcPr>
          <w:p w14:paraId="47F9AF65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0CA7FF2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64930" w14:paraId="2DA4595F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6189D65" w14:textId="2EC987DA" w:rsidR="00664930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Všechny procesy, tj.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deparafinace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tkáně, demaskování antigenů, automatické dávkování protilátky, automatické dávkování detekčních a barvících </w:t>
            </w:r>
            <w:proofErr w:type="gram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činidel - musí</w:t>
            </w:r>
            <w:proofErr w:type="gram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být prováděny jedním přístrojem představujícím uzavřenou, jednotnou platformu</w:t>
            </w:r>
          </w:p>
        </w:tc>
        <w:tc>
          <w:tcPr>
            <w:tcW w:w="2162" w:type="dxa"/>
            <w:vAlign w:val="center"/>
          </w:tcPr>
          <w:p w14:paraId="295B1F15" w14:textId="77777777" w:rsidR="00664930" w:rsidRPr="00A65097" w:rsidRDefault="00664930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7C437FB" w14:textId="77777777" w:rsidR="00664930" w:rsidRPr="00A65097" w:rsidRDefault="00664930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B1D89" w14:paraId="5C81073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5056C67" w14:textId="42A4671C" w:rsidR="005B1D89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Minimálně 30 nezávislých pozic, přičemž každá nezávislá pozice umožňuje provádění odlišného barvícího protokolu s možností kontinuálního vkládání a vybírání hotových skel během chodu přístroje</w:t>
            </w:r>
          </w:p>
        </w:tc>
        <w:tc>
          <w:tcPr>
            <w:tcW w:w="2162" w:type="dxa"/>
            <w:vAlign w:val="center"/>
          </w:tcPr>
          <w:p w14:paraId="0C1C6B8F" w14:textId="77777777" w:rsidR="005B1D89" w:rsidRPr="00A65097" w:rsidRDefault="00EC264B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39571302" w14:textId="77777777" w:rsidR="005B1D89" w:rsidRPr="00A65097" w:rsidRDefault="005B1D89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715E36B6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CFDF057" w14:textId="669FA5C3" w:rsidR="00A67AF5" w:rsidRPr="00A67AF5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Schopnost současného běhu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imunohistochemie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a in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situ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hybridizace</w:t>
            </w:r>
          </w:p>
        </w:tc>
        <w:tc>
          <w:tcPr>
            <w:tcW w:w="2162" w:type="dxa"/>
            <w:vAlign w:val="center"/>
          </w:tcPr>
          <w:p w14:paraId="14FA1805" w14:textId="77777777" w:rsidR="00A67AF5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9782632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2D7B244E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7853A15" w14:textId="4936951D" w:rsidR="00F1457A" w:rsidRPr="00F1457A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Reagencie (enzymy, detekční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kity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a protilátky pro automatický běh) dostupné ve formě k přímému použití</w:t>
            </w:r>
          </w:p>
        </w:tc>
        <w:tc>
          <w:tcPr>
            <w:tcW w:w="2162" w:type="dxa"/>
            <w:vAlign w:val="center"/>
          </w:tcPr>
          <w:p w14:paraId="0D11FE24" w14:textId="143DE9DC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64F5BA3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1C7DC1B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665C932" w14:textId="68945A46" w:rsidR="00A67AF5" w:rsidRPr="00D379DA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Možnost použití protilátek různých výrobců (plně otevřený systém)</w:t>
            </w:r>
          </w:p>
        </w:tc>
        <w:tc>
          <w:tcPr>
            <w:tcW w:w="2162" w:type="dxa"/>
            <w:vAlign w:val="center"/>
          </w:tcPr>
          <w:p w14:paraId="49E45E5A" w14:textId="77777777" w:rsidR="00A67AF5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9047EB5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33AB7020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F7C7846" w14:textId="5AAE2AAB" w:rsidR="00517314" w:rsidRPr="00A67AF5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Použití veškerých provozních činidel bez obsahu xylenu</w:t>
            </w:r>
          </w:p>
        </w:tc>
        <w:tc>
          <w:tcPr>
            <w:tcW w:w="2162" w:type="dxa"/>
            <w:vAlign w:val="center"/>
          </w:tcPr>
          <w:p w14:paraId="051EC829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8F17F40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20C9A55C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2F9461A" w14:textId="4FE5D820" w:rsidR="00517314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Možnost manuální aplikace protilátky za běhu přístroje</w:t>
            </w:r>
          </w:p>
        </w:tc>
        <w:tc>
          <w:tcPr>
            <w:tcW w:w="2162" w:type="dxa"/>
            <w:vAlign w:val="center"/>
          </w:tcPr>
          <w:p w14:paraId="4003426A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817B6B8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58C4D2C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4D24790" w14:textId="189F62A3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Možnost okamžitého zahájení zpracování STATIM vzorku bez omezení kapacity přístroje a bez negativního ovlivnění doby zpracování ostatních vzorků</w:t>
            </w:r>
          </w:p>
        </w:tc>
        <w:tc>
          <w:tcPr>
            <w:tcW w:w="2162" w:type="dxa"/>
            <w:vAlign w:val="center"/>
          </w:tcPr>
          <w:p w14:paraId="72105862" w14:textId="2EBB2E74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81BACE5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4786F894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1540DB4" w14:textId="53F6919F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Možnost sušení skel v přístroji</w:t>
            </w:r>
          </w:p>
        </w:tc>
        <w:tc>
          <w:tcPr>
            <w:tcW w:w="2162" w:type="dxa"/>
            <w:vAlign w:val="center"/>
          </w:tcPr>
          <w:p w14:paraId="309E7B86" w14:textId="0E1E17A5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4AF581F2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0201DB7E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1C066E7" w14:textId="14049505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213346511"/>
            <w:r w:rsidRPr="00F1457A">
              <w:rPr>
                <w:rFonts w:ascii="Arial" w:hAnsi="Arial" w:cs="Arial"/>
                <w:bCs/>
                <w:sz w:val="20"/>
                <w:szCs w:val="20"/>
              </w:rPr>
              <w:t>Systém umožňující připojení dalších shodných přístrojů k jednomu ovládacímu PC, aby bylo možné sdílení stejných reagencií a pracovních postupů; součástí výpůjčky bude i ovládací PC, monitor a tiskárna čárových kódů</w:t>
            </w:r>
            <w:bookmarkEnd w:id="0"/>
          </w:p>
        </w:tc>
        <w:tc>
          <w:tcPr>
            <w:tcW w:w="2162" w:type="dxa"/>
            <w:vAlign w:val="center"/>
          </w:tcPr>
          <w:p w14:paraId="6D386982" w14:textId="444AD23E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83485E8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1593D78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453F4D9" w14:textId="4EB3D608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Uživatelské rozhraní, software a manuál přístroje v českém jazyce</w:t>
            </w:r>
          </w:p>
        </w:tc>
        <w:tc>
          <w:tcPr>
            <w:tcW w:w="2162" w:type="dxa"/>
            <w:vAlign w:val="center"/>
          </w:tcPr>
          <w:p w14:paraId="13E4F124" w14:textId="6DEE2584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103B06B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72F6748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DA0420F" w14:textId="4BD10983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13346543"/>
            <w:r w:rsidRPr="00F1457A">
              <w:rPr>
                <w:rFonts w:ascii="Arial" w:hAnsi="Arial" w:cs="Arial"/>
                <w:bCs/>
                <w:sz w:val="20"/>
                <w:szCs w:val="20"/>
              </w:rPr>
              <w:t>Adekvátní UPS zařízení pro případný výpadek elektrického proudu (min. 15 min.</w:t>
            </w:r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162" w:type="dxa"/>
            <w:vAlign w:val="center"/>
          </w:tcPr>
          <w:p w14:paraId="18131863" w14:textId="36FAEE61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F9B46C3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249DD43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0B79FE7" w14:textId="244B8C2C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lastRenderedPageBreak/>
              <w:t>Aplikační a servisní podpora v češtině</w:t>
            </w:r>
          </w:p>
        </w:tc>
        <w:tc>
          <w:tcPr>
            <w:tcW w:w="2162" w:type="dxa"/>
            <w:vAlign w:val="center"/>
          </w:tcPr>
          <w:p w14:paraId="0F7E40E8" w14:textId="79509D42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98CAB8A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615739C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248AEFB" w14:textId="1CF0CB85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13346562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Připojení na elektrickou síť </w:t>
            </w:r>
            <w:proofErr w:type="gram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230V</w:t>
            </w:r>
            <w:proofErr w:type="gramEnd"/>
            <w:r w:rsidRPr="00F1457A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gram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50H</w:t>
            </w:r>
            <w:bookmarkEnd w:id="2"/>
            <w:proofErr w:type="gramEnd"/>
          </w:p>
        </w:tc>
        <w:tc>
          <w:tcPr>
            <w:tcW w:w="2162" w:type="dxa"/>
            <w:vAlign w:val="center"/>
          </w:tcPr>
          <w:p w14:paraId="196DB5CB" w14:textId="50F0D3C8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0E3E1B9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48B94FCD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2D97F34" w14:textId="3869BEFF" w:rsidR="00517314" w:rsidRPr="00517314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8058C8">
              <w:rPr>
                <w:rFonts w:ascii="Arial" w:hAnsi="Arial" w:cs="Arial"/>
                <w:sz w:val="20"/>
                <w:szCs w:val="20"/>
              </w:rPr>
              <w:t>Zajištění připojení a komunikace s laboratorním informačním systémem.</w:t>
            </w:r>
          </w:p>
        </w:tc>
        <w:tc>
          <w:tcPr>
            <w:tcW w:w="2162" w:type="dxa"/>
            <w:vAlign w:val="center"/>
          </w:tcPr>
          <w:p w14:paraId="1CF1E45B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6D23148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43413E" w14:paraId="2B3B776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837519B" w14:textId="77777777" w:rsidR="0043413E" w:rsidRPr="00A65097" w:rsidRDefault="00A65097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65097">
              <w:rPr>
                <w:rFonts w:ascii="Arial" w:hAnsi="Arial" w:cs="Arial"/>
                <w:bCs/>
                <w:sz w:val="20"/>
                <w:szCs w:val="20"/>
              </w:rPr>
              <w:t>Všechny součásti systému musí splňovat podmínky správné laboratorní praxe v klinických laboratořích, vyhovovat nařízením Evropského a Rady EU 2017/746, ve znění pozdějších změn a požadavkům zákona č.375/2022 (Zákon o zdravotnických prostředcích a diagnostických zdravotnických prostředcích in vitro)</w:t>
            </w:r>
          </w:p>
        </w:tc>
        <w:tc>
          <w:tcPr>
            <w:tcW w:w="2162" w:type="dxa"/>
            <w:vAlign w:val="center"/>
          </w:tcPr>
          <w:p w14:paraId="4D424A86" w14:textId="77777777" w:rsidR="0043413E" w:rsidRPr="00A65097" w:rsidRDefault="00A65097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331DEC2" w14:textId="77777777" w:rsidR="0043413E" w:rsidRPr="00A65097" w:rsidRDefault="0043413E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:rsidRPr="00CE210F" w14:paraId="79DA9089" w14:textId="77777777" w:rsidTr="00817864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4DE9765C" w14:textId="366F7F32" w:rsidR="00F1457A" w:rsidRPr="00CE210F" w:rsidRDefault="00F1457A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1457A">
              <w:rPr>
                <w:rFonts w:ascii="Arial" w:eastAsia="Arial Unicode MS" w:hAnsi="Arial" w:cs="Arial"/>
                <w:b/>
                <w:sz w:val="20"/>
                <w:szCs w:val="20"/>
              </w:rPr>
              <w:t>Požadavky na spotřební materiál: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106E9678" w14:textId="77777777" w:rsidR="00F1457A" w:rsidRPr="00CE210F" w:rsidRDefault="00F1457A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FFFF99"/>
          </w:tcPr>
          <w:p w14:paraId="7D8F3469" w14:textId="77777777" w:rsidR="00F1457A" w:rsidRPr="00CE210F" w:rsidRDefault="00F1457A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F1457A" w14:paraId="28B0586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32F480F" w14:textId="27A8BDB3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Veškerý spotřební materiál musí odpovídat stávajícím referenčním metodám pro barvení tak, aby metody splňovaly stanovisko odborných společností k průkazu kvality práce v laboratoři pro stanovení výše úhrady zdravotní péče zdravotními pojišťovnami, tj. aby analýza odpovídala kódům Seznamu zdravotních výkonů s bodovými hodnotami.</w:t>
            </w:r>
          </w:p>
        </w:tc>
        <w:tc>
          <w:tcPr>
            <w:tcW w:w="2162" w:type="dxa"/>
            <w:vAlign w:val="center"/>
          </w:tcPr>
          <w:p w14:paraId="07EC3FA5" w14:textId="5E5533D6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D524867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52B664F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4877CD6" w14:textId="1489CEB2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>Spotřební materiál musí splňovat požadavky na direktivu EU IVD (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Directive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98/79/EC) a Nařízení vlády 453/2004 Sb., kterým se stanoví technické požadavky na diagnostické zdravotnické prostředky in vitro, ve znění pozdějších předpisů</w:t>
            </w:r>
          </w:p>
        </w:tc>
        <w:tc>
          <w:tcPr>
            <w:tcW w:w="2162" w:type="dxa"/>
            <w:vAlign w:val="center"/>
          </w:tcPr>
          <w:p w14:paraId="3CCD17BA" w14:textId="123AF89B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3140952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2904E211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35AE343" w14:textId="75E9902D" w:rsidR="00F1457A" w:rsidRPr="00A65097" w:rsidRDefault="00F1457A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Reagencie (enzymy, detekční </w:t>
            </w:r>
            <w:proofErr w:type="spellStart"/>
            <w:r w:rsidRPr="00F1457A">
              <w:rPr>
                <w:rFonts w:ascii="Arial" w:hAnsi="Arial" w:cs="Arial"/>
                <w:bCs/>
                <w:sz w:val="20"/>
                <w:szCs w:val="20"/>
              </w:rPr>
              <w:t>kity</w:t>
            </w:r>
            <w:proofErr w:type="spellEnd"/>
            <w:r w:rsidRPr="00F1457A">
              <w:rPr>
                <w:rFonts w:ascii="Arial" w:hAnsi="Arial" w:cs="Arial"/>
                <w:bCs/>
                <w:sz w:val="20"/>
                <w:szCs w:val="20"/>
              </w:rPr>
              <w:t xml:space="preserve"> a protilátky pro automatický běh) dostupné ve formě k přímému použití</w:t>
            </w:r>
          </w:p>
        </w:tc>
        <w:tc>
          <w:tcPr>
            <w:tcW w:w="2162" w:type="dxa"/>
            <w:vAlign w:val="center"/>
          </w:tcPr>
          <w:p w14:paraId="60CD710E" w14:textId="692C7489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44771F9F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33077" w:rsidRPr="00CE210F" w14:paraId="2376F863" w14:textId="77777777" w:rsidTr="00B47C6A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6B7C6DF8" w14:textId="77777777" w:rsidR="00533077" w:rsidRPr="00CE210F" w:rsidRDefault="00533077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213921700"/>
            <w:r w:rsidRPr="00CE210F">
              <w:rPr>
                <w:rFonts w:ascii="Arial" w:eastAsia="Arial Unicode MS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1F93AB3F" w14:textId="77777777" w:rsidR="00533077" w:rsidRPr="00CE210F" w:rsidRDefault="00CD3883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FFFF99"/>
          </w:tcPr>
          <w:p w14:paraId="7F1D55F1" w14:textId="77777777" w:rsidR="00533077" w:rsidRPr="00CE210F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bookmarkEnd w:id="3"/>
    </w:tbl>
    <w:p w14:paraId="2623AEEE" w14:textId="77777777" w:rsidR="00DE6D67" w:rsidRDefault="00DE6D67">
      <w:pPr>
        <w:rPr>
          <w:rFonts w:ascii="Arial" w:hAnsi="Arial" w:cs="Arial"/>
        </w:rPr>
      </w:pPr>
    </w:p>
    <w:p w14:paraId="41FAA672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  <w:r w:rsidRPr="007B02E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47D02FEA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</w:p>
    <w:p w14:paraId="18CB0F4F" w14:textId="77777777" w:rsidR="00DE6D67" w:rsidRDefault="00DE6D67">
      <w:pPr>
        <w:rPr>
          <w:rFonts w:ascii="Arial" w:hAnsi="Arial" w:cs="Arial"/>
        </w:rPr>
      </w:pPr>
    </w:p>
    <w:p w14:paraId="4117015F" w14:textId="77777777" w:rsidR="00DE6D67" w:rsidRDefault="00DE6D67">
      <w:r>
        <w:rPr>
          <w:rFonts w:ascii="Arial" w:hAnsi="Arial" w:cs="Arial"/>
        </w:rPr>
        <w:t>V ……………. dne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uchazeče:</w:t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sectPr w:rsidR="00DE6D67">
      <w:headerReference w:type="default" r:id="rId11"/>
      <w:footerReference w:type="default" r:id="rId12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A315E" w14:textId="77777777" w:rsidR="00EC1A80" w:rsidRDefault="00EC1A80">
      <w:r>
        <w:separator/>
      </w:r>
    </w:p>
  </w:endnote>
  <w:endnote w:type="continuationSeparator" w:id="0">
    <w:p w14:paraId="5E121326" w14:textId="77777777" w:rsidR="00EC1A80" w:rsidRDefault="00EC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59EF" w14:textId="70027B2C" w:rsidR="00DE6D67" w:rsidRPr="008D2118" w:rsidRDefault="008D2118">
    <w:pPr>
      <w:pStyle w:val="Zpat"/>
      <w:rPr>
        <w:rFonts w:ascii="Arial" w:hAnsi="Arial" w:cs="Arial"/>
      </w:rPr>
    </w:pPr>
    <w:r>
      <w:rPr>
        <w:rFonts w:ascii="Arial" w:hAnsi="Arial" w:cs="Arial"/>
      </w:rPr>
      <w:t>v</w:t>
    </w:r>
    <w:r w:rsidR="009355CF" w:rsidRPr="008D2118">
      <w:rPr>
        <w:rFonts w:ascii="Arial" w:hAnsi="Arial" w:cs="Arial"/>
      </w:rPr>
      <w:t xml:space="preserve">erze </w:t>
    </w:r>
    <w:r>
      <w:rPr>
        <w:rFonts w:ascii="Arial" w:hAnsi="Arial" w:cs="Arial"/>
      </w:rPr>
      <w:t>04</w:t>
    </w:r>
    <w:r w:rsidR="00B47C6A" w:rsidRPr="008D2118">
      <w:rPr>
        <w:rFonts w:ascii="Arial" w:hAnsi="Arial" w:cs="Arial"/>
      </w:rPr>
      <w:t>.</w:t>
    </w:r>
    <w:r w:rsidR="002105D5" w:rsidRPr="008D2118">
      <w:rPr>
        <w:rFonts w:ascii="Arial" w:hAnsi="Arial" w:cs="Arial"/>
      </w:rPr>
      <w:t>1</w:t>
    </w:r>
    <w:r>
      <w:rPr>
        <w:rFonts w:ascii="Arial" w:hAnsi="Arial" w:cs="Arial"/>
      </w:rPr>
      <w:t>2</w:t>
    </w:r>
    <w:r w:rsidR="00326B88" w:rsidRPr="008D2118">
      <w:rPr>
        <w:rFonts w:ascii="Arial" w:hAnsi="Arial" w:cs="Arial"/>
      </w:rPr>
      <w:t>.</w:t>
    </w:r>
    <w:r w:rsidR="00B47C6A" w:rsidRPr="008D2118">
      <w:rPr>
        <w:rFonts w:ascii="Arial" w:hAnsi="Arial" w:cs="Arial"/>
      </w:rPr>
      <w:t>20</w:t>
    </w:r>
    <w:r w:rsidR="00F1457A" w:rsidRPr="008D2118">
      <w:rPr>
        <w:rFonts w:ascii="Arial" w:hAnsi="Arial" w:cs="Arial"/>
      </w:rPr>
      <w:t>25</w:t>
    </w:r>
  </w:p>
  <w:p w14:paraId="217B24C1" w14:textId="77777777" w:rsidR="00DE6D67" w:rsidRDefault="00DE6D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4D1F3" w14:textId="77777777" w:rsidR="00EC1A80" w:rsidRDefault="00EC1A80">
      <w:r>
        <w:separator/>
      </w:r>
    </w:p>
  </w:footnote>
  <w:footnote w:type="continuationSeparator" w:id="0">
    <w:p w14:paraId="52D3E7A8" w14:textId="77777777" w:rsidR="00EC1A80" w:rsidRDefault="00EC1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06C1" w14:textId="1FA01E3E" w:rsidR="00DE6D67" w:rsidRDefault="00DE6D67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F875C9">
      <w:rPr>
        <w:rFonts w:ascii="Arial" w:hAnsi="Arial" w:cs="Arial"/>
      </w:rPr>
      <w:t>3 ZD</w:t>
    </w:r>
  </w:p>
  <w:p w14:paraId="7F9AE051" w14:textId="77777777" w:rsidR="00DE6D67" w:rsidRDefault="00DE6D67">
    <w:pPr>
      <w:pStyle w:val="Zhlav"/>
      <w:rPr>
        <w:rFonts w:ascii="Arial" w:hAnsi="Arial" w:cs="Arial"/>
      </w:rPr>
    </w:pPr>
  </w:p>
  <w:p w14:paraId="739C8B31" w14:textId="77777777" w:rsidR="006E1B75" w:rsidRDefault="006E1B75" w:rsidP="006E1B7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14:paraId="25E0200A" w14:textId="118EBBB4" w:rsidR="00F875C9" w:rsidRDefault="00F875C9" w:rsidP="006E1B75">
    <w:pPr>
      <w:pStyle w:val="Zhlav"/>
      <w:jc w:val="center"/>
      <w:rPr>
        <w:rFonts w:ascii="Arial" w:hAnsi="Arial" w:cs="Arial"/>
        <w:b/>
        <w:sz w:val="32"/>
      </w:rPr>
    </w:pPr>
    <w:r w:rsidRPr="00F875C9">
      <w:rPr>
        <w:rFonts w:ascii="Arial" w:hAnsi="Arial" w:cs="Arial"/>
        <w:b/>
        <w:sz w:val="28"/>
        <w:szCs w:val="22"/>
      </w:rPr>
      <w:t xml:space="preserve">Dodávky spotřebního materiálu pro barvení </w:t>
    </w:r>
    <w:proofErr w:type="spellStart"/>
    <w:r w:rsidRPr="00F875C9">
      <w:rPr>
        <w:rFonts w:ascii="Arial" w:hAnsi="Arial" w:cs="Arial"/>
        <w:b/>
        <w:sz w:val="28"/>
        <w:szCs w:val="22"/>
      </w:rPr>
      <w:t>imunohistochemických</w:t>
    </w:r>
    <w:proofErr w:type="spellEnd"/>
    <w:r w:rsidRPr="00F875C9">
      <w:rPr>
        <w:rFonts w:ascii="Arial" w:hAnsi="Arial" w:cs="Arial"/>
        <w:b/>
        <w:sz w:val="28"/>
        <w:szCs w:val="22"/>
      </w:rPr>
      <w:t xml:space="preserve"> preparátů s výpůjčkou barv</w:t>
    </w:r>
    <w:r w:rsidR="004C213E">
      <w:rPr>
        <w:rFonts w:ascii="Arial" w:hAnsi="Arial" w:cs="Arial"/>
        <w:b/>
        <w:sz w:val="28"/>
        <w:szCs w:val="22"/>
      </w:rPr>
      <w:t>i</w:t>
    </w:r>
    <w:r w:rsidRPr="00F875C9">
      <w:rPr>
        <w:rFonts w:ascii="Arial" w:hAnsi="Arial" w:cs="Arial"/>
        <w:b/>
        <w:sz w:val="28"/>
        <w:szCs w:val="22"/>
      </w:rPr>
      <w:t>cího automatu</w:t>
    </w:r>
  </w:p>
  <w:p w14:paraId="5794DC19" w14:textId="77777777" w:rsidR="00533077" w:rsidRDefault="00533077" w:rsidP="006E1B75">
    <w:pPr>
      <w:pStyle w:val="Zhlav"/>
      <w:jc w:val="center"/>
      <w:rPr>
        <w:rFonts w:ascii="Arial" w:hAnsi="Arial" w:cs="Arial"/>
        <w:b/>
      </w:rPr>
    </w:pPr>
  </w:p>
  <w:p w14:paraId="04CC8A52" w14:textId="2CA739DC" w:rsidR="006E1B75" w:rsidRDefault="006E1B75" w:rsidP="006E1B75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 w:rsidR="00F1457A"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>Karlovarská krajská nemocnice a.s.</w:t>
    </w:r>
  </w:p>
  <w:p w14:paraId="35E31A18" w14:textId="459150F3" w:rsidR="006E1B75" w:rsidRDefault="006E1B75" w:rsidP="006E1B75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>Sídlo:</w:t>
    </w:r>
    <w:r w:rsidR="00F1457A">
      <w:rPr>
        <w:rFonts w:ascii="Arial" w:hAnsi="Arial" w:cs="Arial"/>
        <w:b w:val="0"/>
        <w:i w:val="0"/>
        <w:sz w:val="22"/>
        <w:u w:val="none"/>
      </w:rPr>
      <w:tab/>
    </w:r>
    <w:r>
      <w:rPr>
        <w:rFonts w:ascii="Arial" w:hAnsi="Arial" w:cs="Arial"/>
        <w:b w:val="0"/>
        <w:i w:val="0"/>
        <w:sz w:val="22"/>
        <w:u w:val="none"/>
      </w:rPr>
      <w:t xml:space="preserve">Bezručova 1190/19, 360 01 Karlovy Vary </w:t>
    </w:r>
  </w:p>
  <w:p w14:paraId="179DA6DB" w14:textId="77777777" w:rsidR="00F875C9" w:rsidRDefault="006E1B75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</w:t>
    </w:r>
    <w:r w:rsidR="00F875C9">
      <w:rPr>
        <w:rFonts w:ascii="Arial" w:hAnsi="Arial" w:cs="Arial"/>
        <w:sz w:val="22"/>
      </w:rPr>
      <w:t>O</w:t>
    </w:r>
    <w:r>
      <w:rPr>
        <w:rFonts w:ascii="Arial" w:hAnsi="Arial" w:cs="Arial"/>
        <w:sz w:val="22"/>
      </w:rPr>
      <w:t>:</w:t>
    </w:r>
    <w:r>
      <w:rPr>
        <w:rFonts w:ascii="Arial" w:hAnsi="Arial" w:cs="Arial"/>
        <w:sz w:val="22"/>
      </w:rPr>
      <w:tab/>
      <w:t>26365804</w:t>
    </w:r>
  </w:p>
  <w:p w14:paraId="646CEE4C" w14:textId="769D9D04" w:rsidR="00DE6D67" w:rsidRDefault="00DE6D67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65C24"/>
    <w:multiLevelType w:val="hybridMultilevel"/>
    <w:tmpl w:val="32A4354E"/>
    <w:lvl w:ilvl="0" w:tplc="A24CE4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70842">
    <w:abstractNumId w:val="1"/>
  </w:num>
  <w:num w:numId="2" w16cid:durableId="1618676400">
    <w:abstractNumId w:val="0"/>
  </w:num>
  <w:num w:numId="3" w16cid:durableId="524178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CE"/>
    <w:rsid w:val="00074A10"/>
    <w:rsid w:val="00081E3B"/>
    <w:rsid w:val="0015631F"/>
    <w:rsid w:val="001B2987"/>
    <w:rsid w:val="001C1727"/>
    <w:rsid w:val="001E1D70"/>
    <w:rsid w:val="001F63AA"/>
    <w:rsid w:val="002105D5"/>
    <w:rsid w:val="00221759"/>
    <w:rsid w:val="00231023"/>
    <w:rsid w:val="002638FF"/>
    <w:rsid w:val="0027336E"/>
    <w:rsid w:val="002964C9"/>
    <w:rsid w:val="002A2029"/>
    <w:rsid w:val="002A32F0"/>
    <w:rsid w:val="002E6991"/>
    <w:rsid w:val="003068C0"/>
    <w:rsid w:val="00317A3F"/>
    <w:rsid w:val="00326B88"/>
    <w:rsid w:val="00366E94"/>
    <w:rsid w:val="00386CEA"/>
    <w:rsid w:val="003961BB"/>
    <w:rsid w:val="003B07AE"/>
    <w:rsid w:val="003B3CEA"/>
    <w:rsid w:val="003E6698"/>
    <w:rsid w:val="0043413E"/>
    <w:rsid w:val="004568A9"/>
    <w:rsid w:val="00471191"/>
    <w:rsid w:val="004C213E"/>
    <w:rsid w:val="004D38EF"/>
    <w:rsid w:val="004D56DE"/>
    <w:rsid w:val="00511579"/>
    <w:rsid w:val="00517314"/>
    <w:rsid w:val="00533077"/>
    <w:rsid w:val="005B1C74"/>
    <w:rsid w:val="005B1D89"/>
    <w:rsid w:val="005E07E0"/>
    <w:rsid w:val="005E7701"/>
    <w:rsid w:val="006222ED"/>
    <w:rsid w:val="0062704B"/>
    <w:rsid w:val="00644CCE"/>
    <w:rsid w:val="00657521"/>
    <w:rsid w:val="00664930"/>
    <w:rsid w:val="006D2A5A"/>
    <w:rsid w:val="006E056A"/>
    <w:rsid w:val="006E1B75"/>
    <w:rsid w:val="00742D1C"/>
    <w:rsid w:val="007A7C6D"/>
    <w:rsid w:val="007B15F6"/>
    <w:rsid w:val="007C6E17"/>
    <w:rsid w:val="00800D1A"/>
    <w:rsid w:val="008058C8"/>
    <w:rsid w:val="00840238"/>
    <w:rsid w:val="008424BC"/>
    <w:rsid w:val="008610D9"/>
    <w:rsid w:val="0086499C"/>
    <w:rsid w:val="008D2118"/>
    <w:rsid w:val="008E1BFB"/>
    <w:rsid w:val="00920E57"/>
    <w:rsid w:val="00924D35"/>
    <w:rsid w:val="009355CF"/>
    <w:rsid w:val="009700BA"/>
    <w:rsid w:val="00986CE0"/>
    <w:rsid w:val="009A1578"/>
    <w:rsid w:val="009D2D5C"/>
    <w:rsid w:val="00A02BF8"/>
    <w:rsid w:val="00A262CC"/>
    <w:rsid w:val="00A65097"/>
    <w:rsid w:val="00A67AF5"/>
    <w:rsid w:val="00A73AE9"/>
    <w:rsid w:val="00B11874"/>
    <w:rsid w:val="00B267BB"/>
    <w:rsid w:val="00B34639"/>
    <w:rsid w:val="00B47C6A"/>
    <w:rsid w:val="00B500AE"/>
    <w:rsid w:val="00B808A6"/>
    <w:rsid w:val="00BB439F"/>
    <w:rsid w:val="00BC1414"/>
    <w:rsid w:val="00C032E6"/>
    <w:rsid w:val="00C04FCC"/>
    <w:rsid w:val="00C47BF6"/>
    <w:rsid w:val="00CD3883"/>
    <w:rsid w:val="00CE210F"/>
    <w:rsid w:val="00CE52C8"/>
    <w:rsid w:val="00D13CC5"/>
    <w:rsid w:val="00D379DA"/>
    <w:rsid w:val="00D6494A"/>
    <w:rsid w:val="00D82EFC"/>
    <w:rsid w:val="00DA3F01"/>
    <w:rsid w:val="00DA714B"/>
    <w:rsid w:val="00DB5200"/>
    <w:rsid w:val="00DD18DD"/>
    <w:rsid w:val="00DE6D67"/>
    <w:rsid w:val="00E2358A"/>
    <w:rsid w:val="00E4456D"/>
    <w:rsid w:val="00E61992"/>
    <w:rsid w:val="00E72034"/>
    <w:rsid w:val="00E87730"/>
    <w:rsid w:val="00EC1A80"/>
    <w:rsid w:val="00EC264B"/>
    <w:rsid w:val="00EC3805"/>
    <w:rsid w:val="00EC4254"/>
    <w:rsid w:val="00ED4B63"/>
    <w:rsid w:val="00ED73CD"/>
    <w:rsid w:val="00ED7E1D"/>
    <w:rsid w:val="00EE624A"/>
    <w:rsid w:val="00EF5995"/>
    <w:rsid w:val="00F1457A"/>
    <w:rsid w:val="00F25E73"/>
    <w:rsid w:val="00F25FCE"/>
    <w:rsid w:val="00F456BE"/>
    <w:rsid w:val="00F53F83"/>
    <w:rsid w:val="00F73E7A"/>
    <w:rsid w:val="00F875C9"/>
    <w:rsid w:val="00FB0854"/>
    <w:rsid w:val="00FB5C91"/>
    <w:rsid w:val="00FC59B3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DDCDE23"/>
  <w15:chartTrackingRefBased/>
  <w15:docId w15:val="{F164F327-0475-4D0E-ADC2-1A4772D0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7A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8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2052-E472-406A-B322-0A446651AD2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0CA58B3A-33F5-493B-BE08-AA327A2F9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94C25-A751-480B-8480-229590C47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BABC2E-1606-445D-98AF-86053C19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Tina Batková</cp:lastModifiedBy>
  <cp:revision>8</cp:revision>
  <cp:lastPrinted>2024-10-30T12:38:00Z</cp:lastPrinted>
  <dcterms:created xsi:type="dcterms:W3CDTF">2025-11-13T09:26:00Z</dcterms:created>
  <dcterms:modified xsi:type="dcterms:W3CDTF">2025-12-03T13:38:00Z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